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F3CDB" w:rsidRPr="003F3CDB" w:rsidRDefault="003F3CDB" w:rsidP="003F3CDB">
      <w:pPr>
        <w:shd w:val="clear" w:color="auto" w:fill="FFFFFF"/>
        <w:spacing w:before="120" w:after="120" w:line="234" w:lineRule="atLeast"/>
        <w:jc w:val="center"/>
        <w:rPr>
          <w:rFonts w:ascii="Arial" w:eastAsia="Times New Roman" w:hAnsi="Arial" w:cs="Arial"/>
          <w:color w:val="000000"/>
          <w:kern w:val="0"/>
          <w:sz w:val="20"/>
          <w:szCs w:val="20"/>
          <w14:ligatures w14:val="none"/>
        </w:rPr>
      </w:pPr>
      <w:r w:rsidRPr="003F3CDB">
        <w:rPr>
          <w:rFonts w:ascii="Arial" w:eastAsia="Times New Roman" w:hAnsi="Arial" w:cs="Arial"/>
          <w:b/>
          <w:bCs/>
          <w:color w:val="000000"/>
          <w:kern w:val="0"/>
          <w:sz w:val="20"/>
          <w:szCs w:val="20"/>
          <w14:ligatures w14:val="none"/>
        </w:rPr>
        <w:t>PHỤ LỤC III</w:t>
      </w:r>
    </w:p>
    <w:p w:rsidR="003F3CDB" w:rsidRPr="003F3CDB" w:rsidRDefault="003F3CDB" w:rsidP="003F3CDB">
      <w:pPr>
        <w:shd w:val="clear" w:color="auto" w:fill="FFFFFF"/>
        <w:spacing w:before="120" w:after="120" w:line="234" w:lineRule="atLeast"/>
        <w:jc w:val="center"/>
        <w:rPr>
          <w:rFonts w:ascii="Arial" w:eastAsia="Times New Roman" w:hAnsi="Arial" w:cs="Arial"/>
          <w:color w:val="000000"/>
          <w:kern w:val="0"/>
          <w:sz w:val="20"/>
          <w:szCs w:val="20"/>
          <w14:ligatures w14:val="none"/>
        </w:rPr>
      </w:pPr>
      <w:r w:rsidRPr="003F3CDB">
        <w:rPr>
          <w:rFonts w:ascii="Arial" w:eastAsia="Times New Roman" w:hAnsi="Arial" w:cs="Arial"/>
          <w:color w:val="000000"/>
          <w:kern w:val="0"/>
          <w:sz w:val="20"/>
          <w:szCs w:val="20"/>
          <w14:ligatures w14:val="none"/>
        </w:rPr>
        <w:t>TRÌNH TỰ, THỦ TỤC TRONG LĨNH VỰC XÚC TIẾN THƯƠNG MẠI</w:t>
      </w:r>
      <w:r w:rsidRPr="003F3CDB">
        <w:rPr>
          <w:rFonts w:ascii="Arial" w:eastAsia="Times New Roman" w:hAnsi="Arial" w:cs="Arial"/>
          <w:b/>
          <w:bCs/>
          <w:color w:val="000000"/>
          <w:kern w:val="0"/>
          <w:sz w:val="20"/>
          <w:szCs w:val="20"/>
          <w14:ligatures w14:val="none"/>
        </w:rPr>
        <w:br/>
      </w:r>
      <w:r w:rsidRPr="003F3CDB">
        <w:rPr>
          <w:rFonts w:ascii="Arial" w:eastAsia="Times New Roman" w:hAnsi="Arial" w:cs="Arial"/>
          <w:i/>
          <w:iCs/>
          <w:color w:val="000000"/>
          <w:kern w:val="0"/>
          <w:sz w:val="20"/>
          <w:szCs w:val="20"/>
          <w14:ligatures w14:val="none"/>
        </w:rPr>
        <w:t>(Kèm theo Nghị định số 146/2025/NĐ-CP ngày 12 tháng 6 năm 2025 của Chính phủ)</w:t>
      </w:r>
    </w:p>
    <w:p w:rsidR="003F3CDB" w:rsidRPr="003F3CDB" w:rsidRDefault="003F3CDB" w:rsidP="003F3CDB">
      <w:pPr>
        <w:spacing w:after="120" w:line="240" w:lineRule="auto"/>
        <w:ind w:firstLine="720"/>
        <w:jc w:val="both"/>
        <w:rPr>
          <w:rFonts w:ascii="Arial" w:eastAsia="Times New Roman" w:hAnsi="Arial" w:cs="Arial"/>
          <w:color w:val="000000"/>
          <w:kern w:val="0"/>
          <w:sz w:val="20"/>
          <w:szCs w:val="20"/>
          <w14:ligatures w14:val="none"/>
        </w:rPr>
      </w:pPr>
      <w:r w:rsidRPr="003F3CDB">
        <w:rPr>
          <w:rFonts w:ascii="Arial" w:eastAsia="Times New Roman" w:hAnsi="Arial" w:cs="Arial"/>
          <w:b/>
          <w:bCs/>
          <w:color w:val="000000"/>
          <w:kern w:val="0"/>
          <w:sz w:val="20"/>
          <w:szCs w:val="20"/>
          <w:shd w:val="clear" w:color="auto" w:fill="FFFFFF"/>
          <w14:ligatures w14:val="none"/>
        </w:rPr>
        <w:t>Trình tự, thủ tục về Đăng ký tổ chức hội chợ, triển lãm thương mại tại nước ngoài</w:t>
      </w:r>
    </w:p>
    <w:p w:rsidR="003F3CDB" w:rsidRPr="003F3CDB" w:rsidRDefault="003F3CDB" w:rsidP="003F3CDB">
      <w:pPr>
        <w:spacing w:after="120" w:line="240" w:lineRule="auto"/>
        <w:ind w:firstLine="720"/>
        <w:jc w:val="both"/>
        <w:rPr>
          <w:rFonts w:ascii="Arial" w:eastAsia="Times New Roman" w:hAnsi="Arial" w:cs="Arial"/>
          <w:color w:val="000000"/>
          <w:kern w:val="0"/>
          <w:sz w:val="20"/>
          <w:szCs w:val="20"/>
          <w14:ligatures w14:val="none"/>
        </w:rPr>
      </w:pPr>
      <w:r w:rsidRPr="003F3CDB">
        <w:rPr>
          <w:rFonts w:ascii="Arial" w:eastAsia="Times New Roman" w:hAnsi="Arial" w:cs="Arial"/>
          <w:color w:val="000000"/>
          <w:kern w:val="0"/>
          <w:sz w:val="20"/>
          <w:szCs w:val="20"/>
          <w:shd w:val="clear" w:color="auto" w:fill="FFFFFF"/>
          <w14:ligatures w14:val="none"/>
        </w:rPr>
        <w:t>1. </w:t>
      </w:r>
      <w:r w:rsidRPr="003F3CDB">
        <w:rPr>
          <w:rFonts w:ascii="Arial" w:eastAsia="Times New Roman" w:hAnsi="Arial" w:cs="Arial"/>
          <w:color w:val="000000"/>
          <w:kern w:val="0"/>
          <w:sz w:val="20"/>
          <w:szCs w:val="20"/>
          <w14:ligatures w14:val="none"/>
        </w:rPr>
        <w:t>Thương nhân tổ chức cho thương nhân, tổ chức, cá nhân tham gia hội chợ, triển lãm thương mại tại nước ngoài (không bao gồm các hoạt động hội chợ, triển lãm thương mại trong khuôn khổ các chương trình, hoạt động xúc tiến thương mại do Thủ tướng Chính phủ quyết định) quy định tại điểm b khoản 2 Điều 29 Nghị định số 81/2018</w:t>
      </w:r>
      <w:bookmarkStart w:id="0" w:name="_GoBack"/>
      <w:bookmarkEnd w:id="0"/>
      <w:r w:rsidRPr="003F3CDB">
        <w:rPr>
          <w:rFonts w:ascii="Arial" w:eastAsia="Times New Roman" w:hAnsi="Arial" w:cs="Arial"/>
          <w:color w:val="000000"/>
          <w:kern w:val="0"/>
          <w:sz w:val="20"/>
          <w:szCs w:val="20"/>
          <w14:ligatures w14:val="none"/>
        </w:rPr>
        <w:t>/NĐ-CP ngày 22 tháng 5 năm 2018 của Chính phủ quy định chi tiết Luật Thương mại về hoạt động xúc tiến thương mại phải thực hiện thủ tục hành chính đăng ký tổ chức hội chợ, triển lãm thương mại tại Ủy ban nhân dân cấp tỉnh.</w:t>
      </w:r>
    </w:p>
    <w:p w:rsidR="003F3CDB" w:rsidRPr="003F3CDB" w:rsidRDefault="003F3CDB" w:rsidP="003F3CDB">
      <w:pPr>
        <w:spacing w:after="120" w:line="240" w:lineRule="auto"/>
        <w:ind w:firstLine="720"/>
        <w:jc w:val="both"/>
        <w:rPr>
          <w:rFonts w:ascii="Arial" w:eastAsia="Times New Roman" w:hAnsi="Arial" w:cs="Arial"/>
          <w:color w:val="000000"/>
          <w:kern w:val="0"/>
          <w:sz w:val="20"/>
          <w:szCs w:val="20"/>
          <w14:ligatures w14:val="none"/>
        </w:rPr>
      </w:pPr>
      <w:r w:rsidRPr="003F3CDB">
        <w:rPr>
          <w:rFonts w:ascii="Arial" w:eastAsia="Times New Roman" w:hAnsi="Arial" w:cs="Arial"/>
          <w:color w:val="000000"/>
          <w:kern w:val="0"/>
          <w:sz w:val="20"/>
          <w:szCs w:val="20"/>
          <w:shd w:val="clear" w:color="auto" w:fill="FFFFFF"/>
          <w14:ligatures w14:val="none"/>
        </w:rPr>
        <w:t>Hồ sơ gồm: </w:t>
      </w:r>
      <w:r w:rsidRPr="003F3CDB">
        <w:rPr>
          <w:rFonts w:ascii="Arial" w:eastAsia="Times New Roman" w:hAnsi="Arial" w:cs="Arial"/>
          <w:color w:val="000000"/>
          <w:kern w:val="0"/>
          <w:sz w:val="20"/>
          <w:szCs w:val="20"/>
          <w14:ligatures w14:val="none"/>
        </w:rPr>
        <w:t>01 Bản đăng ký tổ chức hội chợ, triển lãm thương mại theo Mẫu số 10 Phụ lục ban hành kèm theo Nghị định số 128/2024/NĐ-CP ngày 10 tháng 10 năm 2024 của Chính phủ sửa đổi, bổ sung một số điều của Nghị định số 81/2018/NĐ-CP ngày 22 tháng 5 năm 2018 của Chính phủ quy định chi tiết Luật Thương mại về hoạt động xúc tiến thương mại.</w:t>
      </w:r>
    </w:p>
    <w:p w:rsidR="003F3CDB" w:rsidRPr="003F3CDB" w:rsidRDefault="003F3CDB" w:rsidP="003F3CDB">
      <w:pPr>
        <w:spacing w:after="120" w:line="240" w:lineRule="auto"/>
        <w:ind w:firstLine="720"/>
        <w:jc w:val="both"/>
        <w:rPr>
          <w:rFonts w:ascii="Arial" w:eastAsia="Times New Roman" w:hAnsi="Arial" w:cs="Arial"/>
          <w:color w:val="000000"/>
          <w:kern w:val="0"/>
          <w:sz w:val="20"/>
          <w:szCs w:val="20"/>
          <w14:ligatures w14:val="none"/>
        </w:rPr>
      </w:pPr>
      <w:r w:rsidRPr="003F3CDB">
        <w:rPr>
          <w:rFonts w:ascii="Arial" w:eastAsia="Times New Roman" w:hAnsi="Arial" w:cs="Arial"/>
          <w:color w:val="000000"/>
          <w:kern w:val="0"/>
          <w:sz w:val="20"/>
          <w:szCs w:val="20"/>
          <w14:ligatures w14:val="none"/>
        </w:rPr>
        <w:t>2. Thương nhân được lựa chọn một trong các cách thức đăng ký sau:</w:t>
      </w:r>
    </w:p>
    <w:p w:rsidR="003F3CDB" w:rsidRPr="003F3CDB" w:rsidRDefault="003F3CDB" w:rsidP="003F3CDB">
      <w:pPr>
        <w:spacing w:after="120" w:line="240" w:lineRule="auto"/>
        <w:ind w:firstLine="720"/>
        <w:jc w:val="both"/>
        <w:rPr>
          <w:rFonts w:ascii="Arial" w:eastAsia="Times New Roman" w:hAnsi="Arial" w:cs="Arial"/>
          <w:color w:val="000000"/>
          <w:kern w:val="0"/>
          <w:sz w:val="20"/>
          <w:szCs w:val="20"/>
          <w14:ligatures w14:val="none"/>
        </w:rPr>
      </w:pPr>
      <w:r w:rsidRPr="003F3CDB">
        <w:rPr>
          <w:rFonts w:ascii="Arial" w:eastAsia="Times New Roman" w:hAnsi="Arial" w:cs="Arial"/>
          <w:color w:val="000000"/>
          <w:kern w:val="0"/>
          <w:sz w:val="20"/>
          <w:szCs w:val="20"/>
          <w14:ligatures w14:val="none"/>
        </w:rPr>
        <w:t>- Nộp 01 hồ sơ đăng ký qua dịch vụ bưu chính;</w:t>
      </w:r>
    </w:p>
    <w:p w:rsidR="003F3CDB" w:rsidRPr="003F3CDB" w:rsidRDefault="003F3CDB" w:rsidP="003F3CDB">
      <w:pPr>
        <w:spacing w:after="120" w:line="240" w:lineRule="auto"/>
        <w:ind w:firstLine="720"/>
        <w:jc w:val="both"/>
        <w:rPr>
          <w:rFonts w:ascii="Arial" w:eastAsia="Times New Roman" w:hAnsi="Arial" w:cs="Arial"/>
          <w:color w:val="000000"/>
          <w:kern w:val="0"/>
          <w:sz w:val="20"/>
          <w:szCs w:val="20"/>
          <w14:ligatures w14:val="none"/>
        </w:rPr>
      </w:pPr>
      <w:r w:rsidRPr="003F3CDB">
        <w:rPr>
          <w:rFonts w:ascii="Arial" w:eastAsia="Times New Roman" w:hAnsi="Arial" w:cs="Arial"/>
          <w:color w:val="000000"/>
          <w:kern w:val="0"/>
          <w:sz w:val="20"/>
          <w:szCs w:val="20"/>
          <w14:ligatures w14:val="none"/>
        </w:rPr>
        <w:t>- Nộp 01 hồ sơ đăng ký tại trụ sở Ủy ban nhân dân cấp tỉnh;</w:t>
      </w:r>
    </w:p>
    <w:p w:rsidR="003F3CDB" w:rsidRPr="003F3CDB" w:rsidRDefault="003F3CDB" w:rsidP="003F3CDB">
      <w:pPr>
        <w:spacing w:after="120" w:line="240" w:lineRule="auto"/>
        <w:ind w:firstLine="720"/>
        <w:jc w:val="both"/>
        <w:rPr>
          <w:rFonts w:ascii="Arial" w:eastAsia="Times New Roman" w:hAnsi="Arial" w:cs="Arial"/>
          <w:color w:val="000000"/>
          <w:kern w:val="0"/>
          <w:sz w:val="20"/>
          <w:szCs w:val="20"/>
          <w14:ligatures w14:val="none"/>
        </w:rPr>
      </w:pPr>
      <w:r w:rsidRPr="003F3CDB">
        <w:rPr>
          <w:rFonts w:ascii="Arial" w:eastAsia="Times New Roman" w:hAnsi="Arial" w:cs="Arial"/>
          <w:color w:val="000000"/>
          <w:kern w:val="0"/>
          <w:sz w:val="20"/>
          <w:szCs w:val="20"/>
          <w14:ligatures w14:val="none"/>
        </w:rPr>
        <w:t>- Nộp 01 hồ sơ đăng ký thông qua Hệ thống thông tin giải quyết thủ tục hành chính cấp tỉnh.</w:t>
      </w:r>
    </w:p>
    <w:p w:rsidR="003F3CDB" w:rsidRPr="003F3CDB" w:rsidRDefault="003F3CDB" w:rsidP="003F3CDB">
      <w:pPr>
        <w:spacing w:after="120" w:line="240" w:lineRule="auto"/>
        <w:ind w:firstLine="720"/>
        <w:jc w:val="both"/>
        <w:rPr>
          <w:rFonts w:ascii="Arial" w:eastAsia="Times New Roman" w:hAnsi="Arial" w:cs="Arial"/>
          <w:color w:val="000000"/>
          <w:kern w:val="0"/>
          <w:sz w:val="20"/>
          <w:szCs w:val="20"/>
          <w14:ligatures w14:val="none"/>
        </w:rPr>
      </w:pPr>
      <w:r w:rsidRPr="003F3CDB">
        <w:rPr>
          <w:rFonts w:ascii="Arial" w:eastAsia="Times New Roman" w:hAnsi="Arial" w:cs="Arial"/>
          <w:color w:val="000000"/>
          <w:kern w:val="0"/>
          <w:sz w:val="20"/>
          <w:szCs w:val="20"/>
          <w14:ligatures w14:val="none"/>
        </w:rPr>
        <w:t>3. Thời hạn đăng ký (căn cứ theo ngày nhận ghi trên vận đơn dịch vụ bưu chính hoặc các hình thức có giá trị tương đương trong trường hợp gửi qua dịch vụ bưu chính, căn cứ theo ngày ghi trên giấy tiếp nhận hồ sơ trong trường hợp nộp trực tiếp hoặc căn cứ theo ngày ghi nhận trên hệ thống trong trường hợp nộp qua hệ thống dịch vụ công trực tuyến): Tối đa (sớm nhất) 365 ngày và tối thiểu (chậm nhất) 45 ngày trước ngày khai mạc hội chợ, triển lãm thương mại tại nước ngoài.</w:t>
      </w:r>
    </w:p>
    <w:p w:rsidR="003F3CDB" w:rsidRPr="003F3CDB" w:rsidRDefault="003F3CDB" w:rsidP="003F3CDB">
      <w:pPr>
        <w:spacing w:after="120" w:line="240" w:lineRule="auto"/>
        <w:ind w:firstLine="720"/>
        <w:jc w:val="both"/>
        <w:rPr>
          <w:rFonts w:ascii="Arial" w:eastAsia="Times New Roman" w:hAnsi="Arial" w:cs="Arial"/>
          <w:color w:val="000000"/>
          <w:kern w:val="0"/>
          <w:sz w:val="20"/>
          <w:szCs w:val="20"/>
          <w14:ligatures w14:val="none"/>
        </w:rPr>
      </w:pPr>
      <w:r w:rsidRPr="003F3CDB">
        <w:rPr>
          <w:rFonts w:ascii="Arial" w:eastAsia="Times New Roman" w:hAnsi="Arial" w:cs="Arial"/>
          <w:color w:val="000000"/>
          <w:kern w:val="0"/>
          <w:sz w:val="20"/>
          <w:szCs w:val="20"/>
          <w14:ligatures w14:val="none"/>
        </w:rPr>
        <w:t>4. Ủy ban nhân dân cấp tỉnh trả lời xác nhận hoặc không xác nhận bằng văn bản việc đăng ký tổ chức hội chợ, triển lãm thương mại trong vòng 05 ngày làm việc kể từ ngày nhận được đầy đủ hồ sơ. Trong trường hợp không xác nhận thì cơ quan quản lý nhà nước có thẩm quyền phải nêu rõ lý do.</w:t>
      </w:r>
    </w:p>
    <w:p w:rsidR="00B777E5" w:rsidRPr="003F3CDB" w:rsidRDefault="003F3CDB" w:rsidP="003F3CDB">
      <w:pPr>
        <w:spacing w:after="120" w:line="240" w:lineRule="auto"/>
        <w:ind w:firstLine="720"/>
        <w:jc w:val="both"/>
        <w:rPr>
          <w:rFonts w:ascii="Arial" w:eastAsia="Times New Roman" w:hAnsi="Arial" w:cs="Arial"/>
          <w:color w:val="000000"/>
          <w:kern w:val="0"/>
          <w:sz w:val="20"/>
          <w:szCs w:val="20"/>
          <w14:ligatures w14:val="none"/>
        </w:rPr>
      </w:pPr>
      <w:r w:rsidRPr="003F3CDB">
        <w:rPr>
          <w:rFonts w:ascii="Arial" w:eastAsia="Times New Roman" w:hAnsi="Arial" w:cs="Arial"/>
          <w:color w:val="000000"/>
          <w:kern w:val="0"/>
          <w:sz w:val="20"/>
          <w:szCs w:val="20"/>
          <w14:ligatures w14:val="none"/>
        </w:rPr>
        <w:t>5. Trong vòng 30 ngày kể từ ngày kết thúc hội chợ, triển lãm thương mại, thương nhân phải có văn bản theo Mẫu số 14 Phụ lục ban hành kèm theo Nghị định số 128/2024/NĐ-CP ngày 10 tháng 10 năm 2024 của Chính phủ sửa đổi, bổ sung một số điều của Nghị định số 81/2018/NĐ-CP ngày 22 tháng 5 năm 2018 của Chính phủ quy định chi tiết Luật Thương mại về hoạt động xúc tiến thương mại báo cáo Ủy ban nhân dân cấp tỉnh về kết quả việc tổ chức hội chợ, triển lãm thương mại theo những nội dung đã đăng ký.</w:t>
      </w:r>
    </w:p>
    <w:sectPr w:rsidR="00B777E5" w:rsidRPr="003F3CD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4A7B"/>
    <w:rsid w:val="00174A7B"/>
    <w:rsid w:val="003F3CDB"/>
    <w:rsid w:val="004E5810"/>
    <w:rsid w:val="00B777E5"/>
    <w:rsid w:val="00DB59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28DA74"/>
  <w15:chartTrackingRefBased/>
  <w15:docId w15:val="{C74BDEE0-90D3-4252-958B-4F7B88248A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74A7B"/>
    <w:rPr>
      <w:rFonts w:eastAsiaTheme="minorHAnsi"/>
      <w:kern w:val="2"/>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392</Words>
  <Characters>2239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TEMAOS</Company>
  <LinksUpToDate>false</LinksUpToDate>
  <CharactersWithSpaces>2626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2</cp:revision>
  <dcterms:created xsi:type="dcterms:W3CDTF">2025-09-05T02:47:00Z</dcterms:created>
  <dcterms:modified xsi:type="dcterms:W3CDTF">2025-09-05T02:47:00Z</dcterms:modified>
</cp:coreProperties>
</file>